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8" w:rsidRPr="00B67E59" w:rsidRDefault="00623A3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5774" w:rsidRPr="004E582B" w:rsidRDefault="002C5774" w:rsidP="00623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966" w:rsidRPr="007C60D4" w:rsidRDefault="00DC3966" w:rsidP="007C60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60D4">
        <w:rPr>
          <w:rFonts w:ascii="Times New Roman" w:hAnsi="Times New Roman" w:cs="Times New Roman"/>
          <w:sz w:val="28"/>
          <w:szCs w:val="28"/>
        </w:rPr>
        <w:t xml:space="preserve">Procedură privind selecţia </w:t>
      </w:r>
      <w:r w:rsidR="007C60D4" w:rsidRPr="007C60D4">
        <w:rPr>
          <w:rFonts w:ascii="Times New Roman" w:hAnsi="Times New Roman" w:cs="Times New Roman"/>
          <w:sz w:val="28"/>
          <w:szCs w:val="28"/>
        </w:rPr>
        <w:t>cadrelor didactice</w:t>
      </w:r>
    </w:p>
    <w:p w:rsidR="004E582B" w:rsidRPr="007C60D4" w:rsidRDefault="004E582B" w:rsidP="007C60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60D4">
        <w:rPr>
          <w:rFonts w:ascii="Times New Roman" w:hAnsi="Times New Roman" w:cs="Times New Roman"/>
          <w:sz w:val="28"/>
          <w:szCs w:val="28"/>
        </w:rPr>
        <w:t>în cadrul proiectului</w:t>
      </w:r>
    </w:p>
    <w:p w:rsidR="007C60D4" w:rsidRPr="007C60D4" w:rsidRDefault="007C60D4" w:rsidP="007C60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D4">
        <w:rPr>
          <w:rFonts w:ascii="Times New Roman" w:hAnsi="Times New Roman" w:cs="Times New Roman"/>
          <w:b/>
          <w:i/>
          <w:sz w:val="28"/>
          <w:szCs w:val="28"/>
        </w:rPr>
        <w:t>Competențe esențiale pentru activități digitale</w:t>
      </w:r>
    </w:p>
    <w:p w:rsidR="007C60D4" w:rsidRPr="007C60D4" w:rsidRDefault="007C60D4" w:rsidP="007C60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60D4">
        <w:rPr>
          <w:rFonts w:ascii="Times New Roman" w:hAnsi="Times New Roman" w:cs="Times New Roman"/>
          <w:sz w:val="28"/>
          <w:szCs w:val="28"/>
        </w:rPr>
        <w:t>nr. ref. 2022-1-RO01-KA122-SCH-000079893</w:t>
      </w:r>
    </w:p>
    <w:p w:rsidR="002C5774" w:rsidRDefault="002C5774">
      <w:pPr>
        <w:rPr>
          <w:rFonts w:ascii="Times New Roman" w:hAnsi="Times New Roman" w:cs="Times New Roman"/>
          <w:sz w:val="28"/>
          <w:szCs w:val="28"/>
        </w:rPr>
      </w:pPr>
    </w:p>
    <w:p w:rsidR="002C5774" w:rsidRDefault="002C5774">
      <w:pPr>
        <w:rPr>
          <w:rFonts w:ascii="Times New Roman" w:hAnsi="Times New Roman" w:cs="Times New Roman"/>
          <w:sz w:val="28"/>
          <w:szCs w:val="28"/>
        </w:rPr>
      </w:pPr>
    </w:p>
    <w:p w:rsidR="00623A38" w:rsidRPr="00C95DEA" w:rsidRDefault="00623A38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Cuprins: </w:t>
      </w:r>
    </w:p>
    <w:p w:rsidR="00623A38" w:rsidRPr="00C95DEA" w:rsidRDefault="00623A38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1. Scopul procedurii </w:t>
      </w:r>
    </w:p>
    <w:p w:rsidR="00623A38" w:rsidRPr="00C95DEA" w:rsidRDefault="00623A38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2. Domeniul de aplicare </w:t>
      </w:r>
    </w:p>
    <w:p w:rsidR="00623A38" w:rsidRPr="00C95DEA" w:rsidRDefault="00623A38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3. Conţinut </w:t>
      </w:r>
    </w:p>
    <w:p w:rsidR="00623A38" w:rsidRDefault="00623A38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4. Dispoziţii finale </w:t>
      </w:r>
    </w:p>
    <w:p w:rsidR="00DB522E" w:rsidRPr="00C95DEA" w:rsidRDefault="00DB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Anexa 1</w:t>
      </w: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</w:p>
    <w:p w:rsidR="004C4182" w:rsidRPr="00A12B77" w:rsidRDefault="006E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Realizată de membrii echipei</w:t>
      </w:r>
      <w:r w:rsidR="00460F3A" w:rsidRPr="00A12B77">
        <w:rPr>
          <w:rFonts w:ascii="Times New Roman" w:hAnsi="Times New Roman" w:cs="Times New Roman"/>
          <w:sz w:val="24"/>
          <w:szCs w:val="24"/>
        </w:rPr>
        <w:t xml:space="preserve"> de selecție</w:t>
      </w:r>
      <w:r w:rsidR="004C4182" w:rsidRPr="00A12B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182" w:rsidRDefault="004C4182">
      <w:pPr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4"/>
          <w:szCs w:val="24"/>
        </w:rPr>
        <w:t>prof.</w:t>
      </w:r>
      <w:r w:rsidRPr="00C95DEA">
        <w:rPr>
          <w:rFonts w:ascii="Times New Roman" w:hAnsi="Times New Roman" w:cs="Times New Roman"/>
          <w:sz w:val="24"/>
          <w:szCs w:val="24"/>
        </w:rPr>
        <w:t xml:space="preserve"> </w:t>
      </w:r>
      <w:r w:rsidR="007C60D4">
        <w:rPr>
          <w:rFonts w:ascii="Times New Roman" w:hAnsi="Times New Roman" w:cs="Times New Roman"/>
          <w:sz w:val="24"/>
          <w:szCs w:val="24"/>
        </w:rPr>
        <w:t>Radu Alexandrina</w:t>
      </w:r>
    </w:p>
    <w:p w:rsidR="00A3372D" w:rsidRDefault="00A3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Vidovici Aurelia</w:t>
      </w:r>
    </w:p>
    <w:p w:rsidR="006E36B2" w:rsidRPr="00C95DEA" w:rsidRDefault="006E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Țăranu Constanța</w:t>
      </w: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Verificată şi aprobată de director, </w:t>
      </w:r>
    </w:p>
    <w:p w:rsidR="004C4182" w:rsidRPr="00C95DEA" w:rsidRDefault="004C4182">
      <w:pPr>
        <w:rPr>
          <w:rFonts w:ascii="Times New Roman" w:hAnsi="Times New Roman" w:cs="Times New Roman"/>
          <w:sz w:val="24"/>
          <w:szCs w:val="24"/>
        </w:rPr>
      </w:pPr>
      <w:r w:rsidRPr="00C95DEA">
        <w:rPr>
          <w:rFonts w:ascii="Times New Roman" w:hAnsi="Times New Roman" w:cs="Times New Roman"/>
          <w:sz w:val="24"/>
          <w:szCs w:val="24"/>
        </w:rPr>
        <w:t xml:space="preserve">prof. </w:t>
      </w:r>
      <w:r w:rsidR="007C60D4">
        <w:rPr>
          <w:rFonts w:ascii="Times New Roman" w:hAnsi="Times New Roman" w:cs="Times New Roman"/>
          <w:sz w:val="24"/>
          <w:szCs w:val="24"/>
        </w:rPr>
        <w:t>Daia Iuliana-Maria</w:t>
      </w:r>
    </w:p>
    <w:p w:rsidR="002C5774" w:rsidRDefault="002C5774">
      <w:pPr>
        <w:rPr>
          <w:rFonts w:ascii="Times New Roman" w:hAnsi="Times New Roman" w:cs="Times New Roman"/>
          <w:sz w:val="28"/>
          <w:szCs w:val="28"/>
        </w:rPr>
      </w:pPr>
    </w:p>
    <w:p w:rsidR="002C5774" w:rsidRDefault="002C5774">
      <w:pPr>
        <w:rPr>
          <w:rFonts w:ascii="Times New Roman" w:hAnsi="Times New Roman" w:cs="Times New Roman"/>
          <w:sz w:val="28"/>
          <w:szCs w:val="28"/>
        </w:rPr>
      </w:pPr>
    </w:p>
    <w:p w:rsidR="002C5774" w:rsidRDefault="002C5774">
      <w:pPr>
        <w:rPr>
          <w:rFonts w:ascii="Times New Roman" w:hAnsi="Times New Roman" w:cs="Times New Roman"/>
          <w:sz w:val="28"/>
          <w:szCs w:val="28"/>
        </w:rPr>
      </w:pPr>
    </w:p>
    <w:p w:rsidR="00B416A7" w:rsidRDefault="00B416A7">
      <w:pPr>
        <w:rPr>
          <w:rFonts w:ascii="Times New Roman" w:hAnsi="Times New Roman" w:cs="Times New Roman"/>
          <w:b/>
          <w:sz w:val="24"/>
          <w:szCs w:val="24"/>
        </w:rPr>
      </w:pPr>
    </w:p>
    <w:p w:rsidR="002C5774" w:rsidRPr="0097536C" w:rsidRDefault="002C5774">
      <w:pPr>
        <w:rPr>
          <w:rFonts w:ascii="Times New Roman" w:hAnsi="Times New Roman" w:cs="Times New Roman"/>
          <w:b/>
          <w:sz w:val="24"/>
          <w:szCs w:val="24"/>
        </w:rPr>
      </w:pPr>
      <w:r w:rsidRPr="0097536C">
        <w:rPr>
          <w:rFonts w:ascii="Times New Roman" w:hAnsi="Times New Roman" w:cs="Times New Roman"/>
          <w:b/>
          <w:sz w:val="24"/>
          <w:szCs w:val="24"/>
        </w:rPr>
        <w:t xml:space="preserve">1. SCOPUL PROCEDURII </w:t>
      </w:r>
    </w:p>
    <w:p w:rsidR="002C5774" w:rsidRDefault="002C5774" w:rsidP="005D25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5774">
        <w:rPr>
          <w:rFonts w:ascii="Times New Roman" w:hAnsi="Times New Roman" w:cs="Times New Roman"/>
          <w:sz w:val="24"/>
          <w:szCs w:val="24"/>
        </w:rPr>
        <w:t>1.1. Prezenta procedură stabileşt</w:t>
      </w:r>
      <w:r w:rsidR="00DC3966">
        <w:rPr>
          <w:rFonts w:ascii="Times New Roman" w:hAnsi="Times New Roman" w:cs="Times New Roman"/>
          <w:sz w:val="24"/>
          <w:szCs w:val="24"/>
        </w:rPr>
        <w:t>e modalitatea de selecţie a profesor</w:t>
      </w:r>
      <w:r w:rsidRPr="002C5774">
        <w:rPr>
          <w:rFonts w:ascii="Times New Roman" w:hAnsi="Times New Roman" w:cs="Times New Roman"/>
          <w:sz w:val="24"/>
          <w:szCs w:val="24"/>
        </w:rPr>
        <w:t xml:space="preserve">ilor care vor participa </w:t>
      </w:r>
      <w:r w:rsidR="004E582B">
        <w:rPr>
          <w:rFonts w:ascii="Times New Roman" w:hAnsi="Times New Roman" w:cs="Times New Roman"/>
          <w:sz w:val="24"/>
          <w:szCs w:val="24"/>
        </w:rPr>
        <w:t xml:space="preserve">la </w:t>
      </w:r>
      <w:r w:rsidR="007C60D4">
        <w:rPr>
          <w:rFonts w:ascii="Times New Roman" w:hAnsi="Times New Roman" w:cs="Times New Roman"/>
          <w:sz w:val="24"/>
          <w:szCs w:val="24"/>
        </w:rPr>
        <w:t>cele patru</w:t>
      </w:r>
      <w:r w:rsidRPr="002C5774">
        <w:rPr>
          <w:rFonts w:ascii="Times New Roman" w:hAnsi="Times New Roman" w:cs="Times New Roman"/>
          <w:sz w:val="24"/>
          <w:szCs w:val="24"/>
        </w:rPr>
        <w:t xml:space="preserve"> mobilităţi în cadrul proiectului Erasmus</w:t>
      </w:r>
      <w:r w:rsidRPr="001C2835">
        <w:rPr>
          <w:rFonts w:ascii="Times New Roman" w:hAnsi="Times New Roman" w:cs="Times New Roman"/>
          <w:sz w:val="24"/>
          <w:szCs w:val="24"/>
        </w:rPr>
        <w:t xml:space="preserve">+ </w:t>
      </w:r>
      <w:r w:rsidR="001C2835" w:rsidRPr="001C2835">
        <w:rPr>
          <w:rFonts w:ascii="Times New Roman" w:hAnsi="Times New Roman" w:cs="Times New Roman"/>
          <w:b/>
          <w:i/>
          <w:sz w:val="24"/>
          <w:szCs w:val="24"/>
        </w:rPr>
        <w:t>Competențe esențiale pentru activități digitale</w:t>
      </w:r>
      <w:r w:rsidR="001C2835">
        <w:rPr>
          <w:rFonts w:ascii="Times New Roman" w:hAnsi="Times New Roman" w:cs="Times New Roman"/>
          <w:sz w:val="24"/>
          <w:szCs w:val="24"/>
        </w:rPr>
        <w:t xml:space="preserve">, </w:t>
      </w:r>
      <w:r w:rsidR="001C2835" w:rsidRPr="001C2835">
        <w:rPr>
          <w:rFonts w:ascii="Times New Roman" w:hAnsi="Times New Roman" w:cs="Times New Roman"/>
          <w:sz w:val="24"/>
          <w:szCs w:val="24"/>
        </w:rPr>
        <w:t>nr. ref. 2022-1-RO01-KA122-SCH-000079893</w:t>
      </w:r>
    </w:p>
    <w:p w:rsidR="001C2835" w:rsidRPr="001C2835" w:rsidRDefault="001C2835" w:rsidP="004E582B">
      <w:pPr>
        <w:pStyle w:val="Head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Erasmus Learning Academy, Bologna, Italia – </w:t>
      </w:r>
      <w:r w:rsidRPr="001C28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Integrating ICT and new technologies into teaching and education</w:t>
      </w:r>
    </w:p>
    <w:p w:rsidR="001C2835" w:rsidRDefault="001C2835" w:rsidP="004E582B">
      <w:pPr>
        <w:pStyle w:val="Head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ITC International Training C</w:t>
      </w: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entre, Praga, Cehia - </w:t>
      </w:r>
      <w:r w:rsidRPr="001C28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ICT in Education</w:t>
      </w:r>
    </w:p>
    <w:p w:rsidR="002C5774" w:rsidRDefault="002C5774" w:rsidP="004E582B">
      <w:pPr>
        <w:pStyle w:val="Head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Gymnazium Ludovita Stura, Trencin, Slovacia</w:t>
      </w:r>
    </w:p>
    <w:p w:rsidR="001C2835" w:rsidRPr="002C5774" w:rsidRDefault="001C2835" w:rsidP="004E582B">
      <w:pPr>
        <w:pStyle w:val="Header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Farstavikens skola , Stockholm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Suedia</w:t>
      </w:r>
    </w:p>
    <w:p w:rsidR="002C5774" w:rsidRDefault="002C5774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C5774" w:rsidRDefault="002C5774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2C5774">
        <w:rPr>
          <w:rFonts w:ascii="Times New Roman" w:hAnsi="Times New Roman" w:cs="Times New Roman"/>
          <w:sz w:val="24"/>
          <w:szCs w:val="24"/>
        </w:rPr>
        <w:t>1.2. Activităţile principale ale proiectului</w:t>
      </w:r>
      <w:r w:rsidR="0097536C">
        <w:rPr>
          <w:rFonts w:ascii="Times New Roman" w:hAnsi="Times New Roman" w:cs="Times New Roman"/>
          <w:sz w:val="24"/>
          <w:szCs w:val="24"/>
        </w:rPr>
        <w:t>:</w:t>
      </w:r>
      <w:r w:rsidRPr="002C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2B" w:rsidRDefault="004E582B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97536C" w:rsidRPr="004125BF" w:rsidRDefault="00E86F8E" w:rsidP="004125B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BF">
        <w:rPr>
          <w:rFonts w:ascii="Times New Roman" w:hAnsi="Times New Roman" w:cs="Times New Roman"/>
          <w:sz w:val="24"/>
          <w:szCs w:val="24"/>
        </w:rPr>
        <w:t xml:space="preserve">2 CURSURI STRUCTURATE </w:t>
      </w:r>
      <w:r w:rsidR="00256064" w:rsidRPr="004125BF">
        <w:rPr>
          <w:rFonts w:ascii="Times New Roman" w:hAnsi="Times New Roman" w:cs="Times New Roman"/>
          <w:sz w:val="24"/>
          <w:szCs w:val="24"/>
        </w:rPr>
        <w:t>la care vor participa 6</w:t>
      </w:r>
      <w:r w:rsidR="001C2835" w:rsidRPr="004125BF">
        <w:rPr>
          <w:rFonts w:ascii="Times New Roman" w:hAnsi="Times New Roman" w:cs="Times New Roman"/>
          <w:sz w:val="24"/>
          <w:szCs w:val="24"/>
        </w:rPr>
        <w:t xml:space="preserve"> cadre didactice </w:t>
      </w:r>
      <w:r w:rsidR="00256064" w:rsidRPr="004125BF">
        <w:rPr>
          <w:rFonts w:ascii="Times New Roman" w:hAnsi="Times New Roman" w:cs="Times New Roman"/>
          <w:sz w:val="24"/>
          <w:szCs w:val="24"/>
        </w:rPr>
        <w:t>titulare</w:t>
      </w:r>
      <w:r w:rsidR="004125BF" w:rsidRPr="004125BF">
        <w:rPr>
          <w:rFonts w:ascii="Times New Roman" w:hAnsi="Times New Roman" w:cs="Times New Roman"/>
          <w:sz w:val="24"/>
          <w:szCs w:val="24"/>
        </w:rPr>
        <w:t xml:space="preserve">, interesate </w:t>
      </w:r>
      <w:r w:rsidR="004125BF">
        <w:rPr>
          <w:rFonts w:ascii="Times New Roman" w:hAnsi="Times New Roman" w:cs="Times New Roman"/>
          <w:sz w:val="24"/>
          <w:szCs w:val="24"/>
        </w:rPr>
        <w:t xml:space="preserve">să </w:t>
      </w:r>
      <w:r w:rsidR="004125BF" w:rsidRPr="004125BF">
        <w:rPr>
          <w:rFonts w:ascii="Times New Roman" w:hAnsi="Times New Roman" w:cs="Times New Roman"/>
          <w:sz w:val="24"/>
          <w:szCs w:val="24"/>
        </w:rPr>
        <w:t>creeze un design didactic motivant prin intergrarea con</w:t>
      </w:r>
      <w:r w:rsidR="004125BF">
        <w:rPr>
          <w:rFonts w:ascii="Times New Roman" w:hAnsi="Times New Roman" w:cs="Times New Roman"/>
          <w:sz w:val="24"/>
          <w:szCs w:val="24"/>
        </w:rPr>
        <w:t>ț</w:t>
      </w:r>
      <w:r w:rsidR="004125BF" w:rsidRPr="004125BF">
        <w:rPr>
          <w:rFonts w:ascii="Times New Roman" w:hAnsi="Times New Roman" w:cs="Times New Roman"/>
          <w:sz w:val="24"/>
          <w:szCs w:val="24"/>
        </w:rPr>
        <w:t>inutului d</w:t>
      </w:r>
      <w:r w:rsidR="004125BF">
        <w:rPr>
          <w:rFonts w:ascii="Times New Roman" w:hAnsi="Times New Roman" w:cs="Times New Roman"/>
          <w:sz w:val="24"/>
          <w:szCs w:val="24"/>
        </w:rPr>
        <w:t>igital/instrumentelor digitale în activitatea educativă;</w:t>
      </w:r>
    </w:p>
    <w:p w:rsidR="00256064" w:rsidRPr="00E86F8E" w:rsidRDefault="00E86F8E" w:rsidP="00E86F8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BF">
        <w:rPr>
          <w:rFonts w:ascii="Times New Roman" w:hAnsi="Times New Roman" w:cs="Times New Roman"/>
          <w:sz w:val="24"/>
          <w:szCs w:val="24"/>
        </w:rPr>
        <w:t xml:space="preserve">2 ACTIVITĂȚI DE JOB SHADOWING </w:t>
      </w:r>
      <w:r w:rsidR="00256064" w:rsidRPr="004125BF">
        <w:rPr>
          <w:rFonts w:ascii="Times New Roman" w:hAnsi="Times New Roman" w:cs="Times New Roman"/>
          <w:sz w:val="24"/>
          <w:szCs w:val="24"/>
        </w:rPr>
        <w:t xml:space="preserve">la care vor </w:t>
      </w:r>
      <w:r w:rsidR="004125BF" w:rsidRPr="004125BF">
        <w:rPr>
          <w:rFonts w:ascii="Times New Roman" w:hAnsi="Times New Roman" w:cs="Times New Roman"/>
          <w:sz w:val="24"/>
          <w:szCs w:val="24"/>
        </w:rPr>
        <w:t>participa 4 cadre didactice din ciclul primar și gimnazial, interesate de utilizarea platformelor educaționale care permit interacțiunea și colaborarea în mediul digital (Slovacia), respectiv pe evaluarea critică a credibilității informațiilor și folosirea corectă</w:t>
      </w:r>
      <w:r w:rsidR="004125BF">
        <w:rPr>
          <w:rFonts w:ascii="Times New Roman" w:hAnsi="Times New Roman" w:cs="Times New Roman"/>
          <w:sz w:val="24"/>
          <w:szCs w:val="24"/>
        </w:rPr>
        <w:t xml:space="preserve"> a surselor din me</w:t>
      </w:r>
      <w:r w:rsidR="004125BF" w:rsidRPr="004125BF">
        <w:rPr>
          <w:rFonts w:ascii="Times New Roman" w:hAnsi="Times New Roman" w:cs="Times New Roman"/>
          <w:sz w:val="24"/>
          <w:szCs w:val="24"/>
        </w:rPr>
        <w:t>diul virtual (Suedia).</w:t>
      </w:r>
    </w:p>
    <w:p w:rsidR="004E582B" w:rsidRDefault="004E582B" w:rsidP="002C5774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97536C" w:rsidRPr="0097536C" w:rsidRDefault="002C5774" w:rsidP="002C5774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97536C">
        <w:rPr>
          <w:rFonts w:ascii="Times New Roman" w:hAnsi="Times New Roman" w:cs="Times New Roman"/>
          <w:b/>
          <w:sz w:val="24"/>
          <w:szCs w:val="24"/>
        </w:rPr>
        <w:t xml:space="preserve">2. DOMENIUL DE APLICARE </w:t>
      </w:r>
    </w:p>
    <w:p w:rsidR="0097536C" w:rsidRDefault="002C5774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2C5774">
        <w:rPr>
          <w:rFonts w:ascii="Times New Roman" w:hAnsi="Times New Roman" w:cs="Times New Roman"/>
          <w:sz w:val="24"/>
          <w:szCs w:val="24"/>
        </w:rPr>
        <w:t>Procedura se aplică în Şco</w:t>
      </w:r>
      <w:r w:rsidR="0097536C">
        <w:rPr>
          <w:rFonts w:ascii="Times New Roman" w:hAnsi="Times New Roman" w:cs="Times New Roman"/>
          <w:sz w:val="24"/>
          <w:szCs w:val="24"/>
        </w:rPr>
        <w:t>ala Gimnazială Nr. 113</w:t>
      </w:r>
      <w:r w:rsidRPr="002C5774">
        <w:rPr>
          <w:rFonts w:ascii="Times New Roman" w:hAnsi="Times New Roman" w:cs="Times New Roman"/>
          <w:sz w:val="24"/>
          <w:szCs w:val="24"/>
        </w:rPr>
        <w:t>, este utilizată de către reprezentantul legal şi de</w:t>
      </w:r>
      <w:r w:rsidR="00460F3A">
        <w:rPr>
          <w:rFonts w:ascii="Times New Roman" w:hAnsi="Times New Roman" w:cs="Times New Roman"/>
          <w:sz w:val="24"/>
          <w:szCs w:val="24"/>
        </w:rPr>
        <w:t xml:space="preserve"> către echipa de selecție a cadrelor didactice</w:t>
      </w:r>
      <w:r w:rsidRPr="002C5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36C" w:rsidRDefault="0097536C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D3122" w:rsidRDefault="002C5774" w:rsidP="002C5774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97536C">
        <w:rPr>
          <w:rFonts w:ascii="Times New Roman" w:hAnsi="Times New Roman" w:cs="Times New Roman"/>
          <w:b/>
          <w:sz w:val="24"/>
          <w:szCs w:val="24"/>
        </w:rPr>
        <w:t>3. CONŢINUT</w:t>
      </w:r>
    </w:p>
    <w:p w:rsidR="00E86F8E" w:rsidRDefault="00E86F8E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E60581" w:rsidRDefault="008D3122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8D3122">
        <w:rPr>
          <w:rFonts w:ascii="Times New Roman" w:hAnsi="Times New Roman" w:cs="Times New Roman"/>
          <w:sz w:val="24"/>
          <w:szCs w:val="24"/>
        </w:rPr>
        <w:t>3.1</w:t>
      </w:r>
      <w:r w:rsidR="006468B0">
        <w:rPr>
          <w:rFonts w:ascii="Times New Roman" w:hAnsi="Times New Roman" w:cs="Times New Roman"/>
          <w:sz w:val="24"/>
          <w:szCs w:val="24"/>
        </w:rPr>
        <w:t>.</w:t>
      </w:r>
      <w:r w:rsidR="002C5774" w:rsidRPr="008D3122">
        <w:rPr>
          <w:rFonts w:ascii="Times New Roman" w:hAnsi="Times New Roman" w:cs="Times New Roman"/>
          <w:sz w:val="24"/>
          <w:szCs w:val="24"/>
        </w:rPr>
        <w:t xml:space="preserve"> </w:t>
      </w:r>
      <w:r w:rsidR="00E60581">
        <w:rPr>
          <w:rFonts w:ascii="Times New Roman" w:hAnsi="Times New Roman" w:cs="Times New Roman"/>
          <w:sz w:val="24"/>
          <w:szCs w:val="24"/>
        </w:rPr>
        <w:t>ACTIVITĂŢI</w:t>
      </w:r>
    </w:p>
    <w:p w:rsidR="004125BF" w:rsidRDefault="00E60581" w:rsidP="004125BF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4125BF">
        <w:rPr>
          <w:rFonts w:ascii="Times New Roman" w:hAnsi="Times New Roman" w:cs="Times New Roman"/>
          <w:sz w:val="24"/>
          <w:szCs w:val="24"/>
        </w:rPr>
        <w:t>CURSURI STRUCTURATE</w:t>
      </w:r>
    </w:p>
    <w:p w:rsidR="004125BF" w:rsidRPr="001C2835" w:rsidRDefault="00546E61" w:rsidP="004125BF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4125BF" w:rsidRPr="001C28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Integrating ICT and new technologies into teaching and education</w:t>
      </w:r>
      <w:r w:rsidR="00A527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="00A52770" w:rsidRPr="00A5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Bologna, Italia</w:t>
      </w:r>
      <w:r w:rsidR="00A5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A5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22.10-30.10.2022</w:t>
      </w:r>
    </w:p>
    <w:p w:rsidR="0097536C" w:rsidRPr="00E86F8E" w:rsidRDefault="00546E61" w:rsidP="002C5774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4125BF" w:rsidRPr="001C28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ICT in Education</w:t>
      </w:r>
      <w:r w:rsidR="00A527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="00A52770"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Praga, Cehia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19.02.25.02.2023</w:t>
      </w:r>
    </w:p>
    <w:p w:rsidR="00227E80" w:rsidRDefault="008D3122" w:rsidP="004125BF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5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60581">
        <w:rPr>
          <w:rFonts w:ascii="Times New Roman" w:hAnsi="Times New Roman" w:cs="Times New Roman"/>
          <w:sz w:val="24"/>
          <w:szCs w:val="24"/>
        </w:rPr>
        <w:t xml:space="preserve">. </w:t>
      </w:r>
      <w:r w:rsidR="00546E61">
        <w:rPr>
          <w:rFonts w:ascii="Times New Roman" w:hAnsi="Times New Roman" w:cs="Times New Roman"/>
          <w:sz w:val="24"/>
          <w:szCs w:val="24"/>
        </w:rPr>
        <w:t>JOB SHADOWING</w:t>
      </w:r>
    </w:p>
    <w:p w:rsidR="00546E61" w:rsidRDefault="00546E61" w:rsidP="00546E61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C5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Gymnazium Ludovita Stura, Trencin, Slovacia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23-29.10.2022</w:t>
      </w:r>
    </w:p>
    <w:p w:rsidR="00546E61" w:rsidRPr="00E86F8E" w:rsidRDefault="00546E61" w:rsidP="004125BF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Farstavikens skola , Stockholm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Suedia</w:t>
      </w:r>
      <w:r w:rsidR="00E8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(se va stabili ulterior începerii anului școlar)</w:t>
      </w:r>
    </w:p>
    <w:p w:rsidR="00C96D73" w:rsidRPr="00E86F8E" w:rsidRDefault="00C96D73" w:rsidP="00C9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E86F8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*Datele </w:t>
      </w:r>
      <w:r w:rsidR="00546E61" w:rsidRPr="00E86F8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mobilităților pot fi modificate</w:t>
      </w:r>
      <w:r w:rsidR="00E86F8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în funcție de instituțiile colaboratoare</w:t>
      </w:r>
      <w:r w:rsidR="00546E61" w:rsidRPr="00E86F8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</w:t>
      </w:r>
    </w:p>
    <w:p w:rsidR="002C5774" w:rsidRDefault="002C5774" w:rsidP="002C5774">
      <w:pPr>
        <w:pStyle w:val="Header"/>
      </w:pPr>
    </w:p>
    <w:p w:rsidR="00810A72" w:rsidRPr="00810A72" w:rsidRDefault="00810A72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810A72">
        <w:rPr>
          <w:rFonts w:ascii="Times New Roman" w:hAnsi="Times New Roman" w:cs="Times New Roman"/>
          <w:sz w:val="24"/>
          <w:szCs w:val="24"/>
        </w:rPr>
        <w:t>3.</w:t>
      </w:r>
      <w:r w:rsidR="00E60581" w:rsidRPr="00810A72">
        <w:rPr>
          <w:rFonts w:ascii="Times New Roman" w:hAnsi="Times New Roman" w:cs="Times New Roman"/>
          <w:sz w:val="24"/>
          <w:szCs w:val="24"/>
        </w:rPr>
        <w:t xml:space="preserve">2. GRUPUL ŢINTĂ </w:t>
      </w:r>
    </w:p>
    <w:p w:rsidR="00E60581" w:rsidRPr="00810A72" w:rsidRDefault="00E60581" w:rsidP="00811E69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810A72">
        <w:rPr>
          <w:rFonts w:ascii="Times New Roman" w:hAnsi="Times New Roman" w:cs="Times New Roman"/>
          <w:sz w:val="24"/>
          <w:szCs w:val="24"/>
        </w:rPr>
        <w:t xml:space="preserve">Grupul ţintă va fi selectat din Şcoala Gimnazială </w:t>
      </w:r>
      <w:r w:rsidR="00810A72" w:rsidRPr="00810A72">
        <w:rPr>
          <w:rFonts w:ascii="Times New Roman" w:hAnsi="Times New Roman" w:cs="Times New Roman"/>
          <w:sz w:val="24"/>
          <w:szCs w:val="24"/>
        </w:rPr>
        <w:t xml:space="preserve">Nr. 113 </w:t>
      </w:r>
      <w:r w:rsidRPr="00810A72">
        <w:rPr>
          <w:rFonts w:ascii="Times New Roman" w:hAnsi="Times New Roman" w:cs="Times New Roman"/>
          <w:sz w:val="24"/>
          <w:szCs w:val="24"/>
        </w:rPr>
        <w:t>conform criteriilor descrise în formularul de candidatură și prezentei proceduri. Grupul ţintă are următoarea structură:</w:t>
      </w:r>
    </w:p>
    <w:p w:rsidR="00810A72" w:rsidRDefault="00810A72" w:rsidP="002C5774">
      <w:pPr>
        <w:pStyle w:val="Head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843"/>
        <w:gridCol w:w="1843"/>
      </w:tblGrid>
      <w:tr w:rsidR="00811E69" w:rsidRPr="00C95DEA" w:rsidTr="00E86F8E"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</w:p>
        </w:tc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A">
              <w:rPr>
                <w:rFonts w:ascii="Times New Roman" w:hAnsi="Times New Roman" w:cs="Times New Roman"/>
                <w:sz w:val="24"/>
                <w:szCs w:val="24"/>
              </w:rPr>
              <w:t>Nr. profesori</w:t>
            </w:r>
          </w:p>
        </w:tc>
      </w:tr>
      <w:tr w:rsidR="00811E69" w:rsidRPr="00C95DEA" w:rsidTr="00E86F8E">
        <w:tc>
          <w:tcPr>
            <w:tcW w:w="1843" w:type="dxa"/>
          </w:tcPr>
          <w:p w:rsidR="00811E69" w:rsidRPr="00C95DEA" w:rsidRDefault="00811E69" w:rsidP="002C577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 IT</w:t>
            </w:r>
          </w:p>
        </w:tc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E69" w:rsidRPr="00C95DEA" w:rsidTr="00E86F8E">
        <w:tc>
          <w:tcPr>
            <w:tcW w:w="1843" w:type="dxa"/>
          </w:tcPr>
          <w:p w:rsidR="00811E69" w:rsidRPr="00C95DEA" w:rsidRDefault="00811E69" w:rsidP="002C577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 CZ</w:t>
            </w:r>
          </w:p>
        </w:tc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E69" w:rsidRPr="00C95DEA" w:rsidTr="00E86F8E">
        <w:tc>
          <w:tcPr>
            <w:tcW w:w="1843" w:type="dxa"/>
          </w:tcPr>
          <w:p w:rsidR="00811E69" w:rsidRPr="00C95DEA" w:rsidRDefault="00811E69" w:rsidP="002C577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JOB SK</w:t>
            </w:r>
          </w:p>
        </w:tc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E69" w:rsidRPr="00C95DEA" w:rsidTr="00E86F8E">
        <w:tc>
          <w:tcPr>
            <w:tcW w:w="1843" w:type="dxa"/>
          </w:tcPr>
          <w:p w:rsidR="00811E69" w:rsidRPr="00C95DEA" w:rsidRDefault="00811E69" w:rsidP="002C577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JOB SE</w:t>
            </w:r>
          </w:p>
        </w:tc>
        <w:tc>
          <w:tcPr>
            <w:tcW w:w="1843" w:type="dxa"/>
          </w:tcPr>
          <w:p w:rsidR="00811E69" w:rsidRPr="00C95DEA" w:rsidRDefault="00811E69" w:rsidP="0036312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0A72" w:rsidRPr="00C95DEA" w:rsidRDefault="00810A72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E6746" w:rsidRDefault="00BE6746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E6746" w:rsidRDefault="00C0449D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0449D">
        <w:rPr>
          <w:rFonts w:ascii="Times New Roman" w:hAnsi="Times New Roman" w:cs="Times New Roman"/>
          <w:sz w:val="24"/>
          <w:szCs w:val="24"/>
        </w:rPr>
        <w:t xml:space="preserve">3.3. </w:t>
      </w:r>
      <w:r w:rsidR="00F93156" w:rsidRPr="00BE6746">
        <w:rPr>
          <w:rFonts w:ascii="Times New Roman" w:hAnsi="Times New Roman" w:cs="Times New Roman"/>
          <w:sz w:val="24"/>
          <w:szCs w:val="24"/>
        </w:rPr>
        <w:t>CRITER</w:t>
      </w:r>
      <w:r w:rsidRPr="00BE6746">
        <w:rPr>
          <w:rFonts w:ascii="Times New Roman" w:hAnsi="Times New Roman" w:cs="Times New Roman"/>
          <w:sz w:val="24"/>
          <w:szCs w:val="24"/>
        </w:rPr>
        <w:t>II DE ELIGIBILITATE</w:t>
      </w:r>
      <w:r w:rsidR="00F93156" w:rsidRPr="00BE6746">
        <w:rPr>
          <w:rFonts w:ascii="Times New Roman" w:hAnsi="Times New Roman" w:cs="Times New Roman"/>
          <w:sz w:val="24"/>
          <w:szCs w:val="24"/>
        </w:rPr>
        <w:t xml:space="preserve"> ŞI SELECŢIE</w:t>
      </w:r>
      <w:r w:rsidRPr="00BE67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BC3" w:rsidRDefault="00D64BC3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F4299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trimiterea scrisorii de intenție în termenul indicat</w:t>
      </w:r>
    </w:p>
    <w:p w:rsidR="001F4299" w:rsidRPr="00242D7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calitatea de profesor titular al școlii cu cel puțin ½ normă în anul școlar curent</w:t>
      </w:r>
    </w:p>
    <w:p w:rsidR="001F4299" w:rsidRPr="00242D7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D7B">
        <w:rPr>
          <w:rFonts w:ascii="Times New Roman" w:hAnsi="Times New Roman" w:cs="Times New Roman"/>
          <w:sz w:val="24"/>
          <w:szCs w:val="24"/>
        </w:rPr>
        <w:t>motivați</w:t>
      </w:r>
      <w:r>
        <w:rPr>
          <w:rFonts w:ascii="Times New Roman" w:hAnsi="Times New Roman" w:cs="Times New Roman"/>
          <w:sz w:val="24"/>
          <w:szCs w:val="24"/>
        </w:rPr>
        <w:t>e și așteptări personale și profesionale</w:t>
      </w:r>
    </w:p>
    <w:p w:rsidR="001F4299" w:rsidRPr="004C33D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asumarea responsabilităț</w:t>
      </w:r>
      <w:r w:rsidRPr="00242D7B">
        <w:rPr>
          <w:rFonts w:ascii="Times New Roman" w:hAnsi="Times New Roman" w:cs="Times New Roman"/>
          <w:sz w:val="24"/>
          <w:szCs w:val="24"/>
        </w:rPr>
        <w:t xml:space="preserve">ilor cu privire la </w:t>
      </w:r>
      <w:r>
        <w:rPr>
          <w:rFonts w:ascii="Times New Roman" w:hAnsi="Times New Roman" w:cs="Times New Roman"/>
          <w:sz w:val="24"/>
          <w:szCs w:val="24"/>
        </w:rPr>
        <w:t xml:space="preserve">formare și </w:t>
      </w:r>
      <w:r w:rsidRPr="004C33DB">
        <w:rPr>
          <w:rFonts w:ascii="Times New Roman" w:hAnsi="Times New Roman" w:cs="Times New Roman"/>
          <w:sz w:val="24"/>
          <w:szCs w:val="24"/>
        </w:rPr>
        <w:t>diseminare</w:t>
      </w:r>
    </w:p>
    <w:p w:rsidR="001F4299" w:rsidRPr="00242D7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D7B">
        <w:rPr>
          <w:rFonts w:ascii="Times New Roman" w:hAnsi="Times New Roman" w:cs="Times New Roman"/>
          <w:sz w:val="24"/>
          <w:szCs w:val="24"/>
        </w:rPr>
        <w:t>capacitate de multiplicare, formare și informare</w:t>
      </w:r>
    </w:p>
    <w:p w:rsidR="001F4299" w:rsidRPr="00242D7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abilități lingvistice</w:t>
      </w:r>
    </w:p>
    <w:p w:rsidR="001F4299" w:rsidRPr="00242D7B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D7B">
        <w:rPr>
          <w:rFonts w:ascii="Times New Roman" w:hAnsi="Times New Roman" w:cs="Times New Roman"/>
          <w:sz w:val="24"/>
          <w:szCs w:val="24"/>
        </w:rPr>
        <w:t xml:space="preserve">implicarea în activitățile premergătoare </w:t>
      </w:r>
      <w:r>
        <w:rPr>
          <w:rFonts w:ascii="Times New Roman" w:hAnsi="Times New Roman" w:cs="Times New Roman"/>
          <w:sz w:val="24"/>
          <w:szCs w:val="24"/>
        </w:rPr>
        <w:t>mobilității</w:t>
      </w:r>
    </w:p>
    <w:p w:rsidR="001F4299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D7B">
        <w:rPr>
          <w:rFonts w:ascii="Times New Roman" w:hAnsi="Times New Roman" w:cs="Times New Roman"/>
          <w:sz w:val="24"/>
          <w:szCs w:val="24"/>
        </w:rPr>
        <w:t xml:space="preserve">participare la alte </w:t>
      </w:r>
      <w:r>
        <w:rPr>
          <w:rFonts w:ascii="Times New Roman" w:hAnsi="Times New Roman" w:cs="Times New Roman"/>
          <w:sz w:val="24"/>
          <w:szCs w:val="24"/>
        </w:rPr>
        <w:t>proiecte internaționale</w:t>
      </w:r>
    </w:p>
    <w:p w:rsidR="001F4299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absolvirea altor</w:t>
      </w:r>
      <w:r w:rsidRPr="00242D7B">
        <w:rPr>
          <w:rFonts w:ascii="Times New Roman" w:hAnsi="Times New Roman" w:cs="Times New Roman"/>
          <w:sz w:val="24"/>
          <w:szCs w:val="24"/>
        </w:rPr>
        <w:t xml:space="preserve"> programe de formare </w:t>
      </w:r>
    </w:p>
    <w:p w:rsidR="001F4299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formare în domeniul TIC</w:t>
      </w:r>
    </w:p>
    <w:p w:rsidR="001F4299" w:rsidRDefault="001F4299" w:rsidP="001F4299">
      <w:pPr>
        <w:pStyle w:val="NoSpacing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implicarea în educația STEAM </w:t>
      </w:r>
    </w:p>
    <w:p w:rsidR="00B417EB" w:rsidRDefault="00B417EB" w:rsidP="002C5774">
      <w:pPr>
        <w:pStyle w:val="Header"/>
      </w:pPr>
    </w:p>
    <w:p w:rsidR="00C95DEA" w:rsidRPr="00FC0903" w:rsidRDefault="00C95DEA" w:rsidP="002C5774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FC0903">
        <w:rPr>
          <w:rFonts w:ascii="Times New Roman" w:hAnsi="Times New Roman" w:cs="Times New Roman"/>
          <w:b/>
          <w:sz w:val="24"/>
          <w:szCs w:val="24"/>
        </w:rPr>
        <w:t xml:space="preserve">4. DISPOZIŢII FINALE </w:t>
      </w:r>
    </w:p>
    <w:p w:rsidR="00FC0903" w:rsidRDefault="00FC0903" w:rsidP="002C577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412874" w:rsidRDefault="009E2C37" w:rsidP="00412874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12874">
        <w:rPr>
          <w:rFonts w:ascii="Times New Roman" w:hAnsi="Times New Roman" w:cs="Times New Roman"/>
          <w:sz w:val="24"/>
          <w:szCs w:val="24"/>
        </w:rPr>
        <w:t>Selecţia va fi organizată conform calendarului menționat în candidatură.</w:t>
      </w:r>
    </w:p>
    <w:p w:rsidR="00A34AFF" w:rsidRDefault="009E2C37" w:rsidP="00A34AF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34AFF">
        <w:rPr>
          <w:rFonts w:ascii="Times New Roman" w:hAnsi="Times New Roman" w:cs="Times New Roman"/>
          <w:sz w:val="24"/>
          <w:szCs w:val="24"/>
        </w:rPr>
        <w:t xml:space="preserve">. </w:t>
      </w:r>
      <w:r w:rsidR="00412874">
        <w:rPr>
          <w:rFonts w:ascii="Times New Roman" w:hAnsi="Times New Roman" w:cs="Times New Roman"/>
          <w:sz w:val="24"/>
          <w:szCs w:val="24"/>
        </w:rPr>
        <w:t xml:space="preserve">Profesorii își vor exprima disponibilitatea de a participa la mobilitățile proiectului prin completarea unui document Word transmis la adresa de email indicată. </w:t>
      </w:r>
    </w:p>
    <w:p w:rsidR="00C95DEA" w:rsidRDefault="00FF5468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95DEA" w:rsidRPr="00C95DEA">
        <w:rPr>
          <w:rFonts w:ascii="Times New Roman" w:hAnsi="Times New Roman" w:cs="Times New Roman"/>
          <w:sz w:val="24"/>
          <w:szCs w:val="24"/>
        </w:rPr>
        <w:t xml:space="preserve">. </w:t>
      </w:r>
      <w:r w:rsidR="00E86F8E">
        <w:rPr>
          <w:rFonts w:ascii="Times New Roman" w:hAnsi="Times New Roman" w:cs="Times New Roman"/>
          <w:sz w:val="24"/>
          <w:szCs w:val="24"/>
        </w:rPr>
        <w:t xml:space="preserve">La data menționată în candidatură și </w:t>
      </w:r>
      <w:r w:rsidR="006B0951">
        <w:rPr>
          <w:rFonts w:ascii="Times New Roman" w:hAnsi="Times New Roman" w:cs="Times New Roman"/>
          <w:sz w:val="24"/>
          <w:szCs w:val="24"/>
        </w:rPr>
        <w:t xml:space="preserve">în </w:t>
      </w:r>
      <w:r w:rsidR="00E86F8E">
        <w:rPr>
          <w:rFonts w:ascii="Times New Roman" w:hAnsi="Times New Roman" w:cs="Times New Roman"/>
          <w:sz w:val="24"/>
          <w:szCs w:val="24"/>
        </w:rPr>
        <w:t>anunț</w:t>
      </w:r>
      <w:r w:rsidR="006B0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comisia de selecți</w:t>
      </w:r>
      <w:r w:rsidR="00A507D2">
        <w:rPr>
          <w:rFonts w:ascii="Times New Roman" w:hAnsi="Times New Roman" w:cs="Times New Roman"/>
          <w:sz w:val="24"/>
          <w:szCs w:val="24"/>
        </w:rPr>
        <w:t>e va anunța rezultatele</w:t>
      </w:r>
      <w:r>
        <w:rPr>
          <w:rFonts w:ascii="Times New Roman" w:hAnsi="Times New Roman" w:cs="Times New Roman"/>
          <w:sz w:val="24"/>
          <w:szCs w:val="24"/>
        </w:rPr>
        <w:t xml:space="preserve"> și va întocmi un raport al desfășurării acesteia.</w:t>
      </w:r>
    </w:p>
    <w:p w:rsidR="00A34AFF" w:rsidRDefault="00FF5468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F1127">
        <w:rPr>
          <w:rFonts w:ascii="Times New Roman" w:hAnsi="Times New Roman" w:cs="Times New Roman"/>
          <w:sz w:val="24"/>
          <w:szCs w:val="24"/>
        </w:rPr>
        <w:t>. La fiecare selecţie va</w:t>
      </w:r>
      <w:r w:rsidR="00A34AFF">
        <w:rPr>
          <w:rFonts w:ascii="Times New Roman" w:hAnsi="Times New Roman" w:cs="Times New Roman"/>
          <w:sz w:val="24"/>
          <w:szCs w:val="24"/>
        </w:rPr>
        <w:t xml:space="preserve"> exista </w:t>
      </w:r>
      <w:r w:rsidR="009F1127">
        <w:rPr>
          <w:rFonts w:ascii="Times New Roman" w:hAnsi="Times New Roman" w:cs="Times New Roman"/>
          <w:sz w:val="24"/>
          <w:szCs w:val="24"/>
        </w:rPr>
        <w:t>cel puțin o persoană</w:t>
      </w:r>
      <w:r>
        <w:rPr>
          <w:rFonts w:ascii="Times New Roman" w:hAnsi="Times New Roman" w:cs="Times New Roman"/>
          <w:sz w:val="24"/>
          <w:szCs w:val="24"/>
        </w:rPr>
        <w:t xml:space="preserve"> cu statut de</w:t>
      </w:r>
      <w:r w:rsidR="00024815">
        <w:rPr>
          <w:rFonts w:ascii="Times New Roman" w:hAnsi="Times New Roman" w:cs="Times New Roman"/>
          <w:sz w:val="24"/>
          <w:szCs w:val="24"/>
        </w:rPr>
        <w:t xml:space="preserve"> rezervă</w:t>
      </w:r>
      <w:r w:rsidR="00A34AFF">
        <w:rPr>
          <w:rFonts w:ascii="Times New Roman" w:hAnsi="Times New Roman" w:cs="Times New Roman"/>
          <w:sz w:val="24"/>
          <w:szCs w:val="24"/>
        </w:rPr>
        <w:t xml:space="preserve"> pentru situaţia în care intervin modificări.</w:t>
      </w:r>
    </w:p>
    <w:p w:rsidR="005352B6" w:rsidRDefault="009F1127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Candidații își pot exprima dorința de a participa la una sau mai multe mobilități</w:t>
      </w:r>
      <w:r w:rsidR="006B0951">
        <w:rPr>
          <w:rFonts w:ascii="Times New Roman" w:hAnsi="Times New Roman" w:cs="Times New Roman"/>
          <w:sz w:val="24"/>
          <w:szCs w:val="24"/>
        </w:rPr>
        <w:t>, dar un cadru didactic poate participa la max. un curs și o activitate de job shadowing</w:t>
      </w:r>
      <w:r>
        <w:rPr>
          <w:rFonts w:ascii="Times New Roman" w:hAnsi="Times New Roman" w:cs="Times New Roman"/>
          <w:sz w:val="24"/>
          <w:szCs w:val="24"/>
        </w:rPr>
        <w:t>. Lista rezultatelor va menționa ordinea punctajelor pentru fiecare mobilitate în parte</w:t>
      </w:r>
      <w:r w:rsidR="006B0951">
        <w:rPr>
          <w:rFonts w:ascii="Times New Roman" w:hAnsi="Times New Roman" w:cs="Times New Roman"/>
          <w:sz w:val="24"/>
          <w:szCs w:val="24"/>
        </w:rPr>
        <w:t>, numele candidaților fiind înlocuite cu un cod pentru respectarea GDPR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1E0" w:rsidRDefault="006051E0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La confirmarea fermă a unei mobilități</w:t>
      </w:r>
      <w:r w:rsidR="00D64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coordonatorul de proiect și responsabilul </w:t>
      </w:r>
      <w:r w:rsidR="006B0951">
        <w:rPr>
          <w:rFonts w:ascii="Times New Roman" w:hAnsi="Times New Roman" w:cs="Times New Roman"/>
          <w:sz w:val="24"/>
          <w:szCs w:val="24"/>
        </w:rPr>
        <w:t xml:space="preserve">pregătire participanți </w:t>
      </w:r>
      <w:r>
        <w:rPr>
          <w:rFonts w:ascii="Times New Roman" w:hAnsi="Times New Roman" w:cs="Times New Roman"/>
          <w:sz w:val="24"/>
          <w:szCs w:val="24"/>
        </w:rPr>
        <w:t>stabilesc o întâlnire cu toți candidații admiși pentru mobilitatea respectivă</w:t>
      </w:r>
      <w:r w:rsidR="006B0951">
        <w:rPr>
          <w:rFonts w:ascii="Times New Roman" w:hAnsi="Times New Roman" w:cs="Times New Roman"/>
          <w:sz w:val="24"/>
          <w:szCs w:val="24"/>
        </w:rPr>
        <w:t>, citesc termenii contractului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6B0951">
        <w:rPr>
          <w:rFonts w:ascii="Times New Roman" w:hAnsi="Times New Roman" w:cs="Times New Roman"/>
          <w:sz w:val="24"/>
          <w:szCs w:val="24"/>
        </w:rPr>
        <w:t>se confirmă/infirmă</w:t>
      </w:r>
      <w:r>
        <w:rPr>
          <w:rFonts w:ascii="Times New Roman" w:hAnsi="Times New Roman" w:cs="Times New Roman"/>
          <w:sz w:val="24"/>
          <w:szCs w:val="24"/>
        </w:rPr>
        <w:t xml:space="preserve"> participarea. În cazul unor situații neclare, acestea se lămuresc în cadrul echipei de management.</w:t>
      </w:r>
    </w:p>
    <w:p w:rsidR="009F1127" w:rsidRDefault="006051E0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352B6">
        <w:rPr>
          <w:rFonts w:ascii="Times New Roman" w:hAnsi="Times New Roman" w:cs="Times New Roman"/>
          <w:sz w:val="24"/>
          <w:szCs w:val="24"/>
        </w:rPr>
        <w:t xml:space="preserve">. </w:t>
      </w:r>
      <w:r w:rsidR="009F1127">
        <w:rPr>
          <w:rFonts w:ascii="Times New Roman" w:hAnsi="Times New Roman" w:cs="Times New Roman"/>
          <w:sz w:val="24"/>
          <w:szCs w:val="24"/>
        </w:rPr>
        <w:t xml:space="preserve">În cazul în care </w:t>
      </w:r>
      <w:r w:rsidR="006B0951">
        <w:rPr>
          <w:rFonts w:ascii="Times New Roman" w:hAnsi="Times New Roman" w:cs="Times New Roman"/>
          <w:sz w:val="24"/>
          <w:szCs w:val="24"/>
        </w:rPr>
        <w:t>o persoană selectată</w:t>
      </w:r>
      <w:r w:rsidR="009F1127">
        <w:rPr>
          <w:rFonts w:ascii="Times New Roman" w:hAnsi="Times New Roman" w:cs="Times New Roman"/>
          <w:sz w:val="24"/>
          <w:szCs w:val="24"/>
        </w:rPr>
        <w:t xml:space="preserve"> </w:t>
      </w:r>
      <w:r w:rsidR="005352B6">
        <w:rPr>
          <w:rFonts w:ascii="Times New Roman" w:hAnsi="Times New Roman" w:cs="Times New Roman"/>
          <w:sz w:val="24"/>
          <w:szCs w:val="24"/>
        </w:rPr>
        <w:t>nu mai dorește sau nu mai poate participa la mobilitate, prezintă</w:t>
      </w:r>
      <w:r w:rsidR="009F1127">
        <w:rPr>
          <w:rFonts w:ascii="Times New Roman" w:hAnsi="Times New Roman" w:cs="Times New Roman"/>
          <w:sz w:val="24"/>
          <w:szCs w:val="24"/>
        </w:rPr>
        <w:t xml:space="preserve"> o declarație </w:t>
      </w:r>
      <w:r w:rsidR="00FC0903">
        <w:rPr>
          <w:rFonts w:ascii="Times New Roman" w:hAnsi="Times New Roman" w:cs="Times New Roman"/>
          <w:sz w:val="24"/>
          <w:szCs w:val="24"/>
        </w:rPr>
        <w:t xml:space="preserve">de renunțare </w:t>
      </w:r>
      <w:r w:rsidR="005352B6">
        <w:rPr>
          <w:rFonts w:ascii="Times New Roman" w:hAnsi="Times New Roman" w:cs="Times New Roman"/>
          <w:sz w:val="24"/>
          <w:szCs w:val="24"/>
        </w:rPr>
        <w:t xml:space="preserve">în scris și au prioritate următorii candidați, în funcție de punctajul obținut. </w:t>
      </w:r>
      <w:r w:rsidR="006B0951">
        <w:rPr>
          <w:rFonts w:ascii="Times New Roman" w:hAnsi="Times New Roman" w:cs="Times New Roman"/>
          <w:sz w:val="24"/>
          <w:szCs w:val="24"/>
        </w:rPr>
        <w:t xml:space="preserve">Renunțarea la o mobilitate este posibilă doar înainte de încheierea contractelor de formare sau înaintea achiziționării oricăror servicii. </w:t>
      </w:r>
      <w:r w:rsidR="005B21BF">
        <w:rPr>
          <w:rFonts w:ascii="Times New Roman" w:hAnsi="Times New Roman" w:cs="Times New Roman"/>
          <w:sz w:val="24"/>
          <w:szCs w:val="24"/>
        </w:rPr>
        <w:t>În cazul în care un cadru didactic nu mai participă la mobilitate după ce s-au plătit sumele în vederea formării, a transportului etc, ace</w:t>
      </w:r>
      <w:r w:rsidR="00FC0903">
        <w:rPr>
          <w:rFonts w:ascii="Times New Roman" w:hAnsi="Times New Roman" w:cs="Times New Roman"/>
          <w:sz w:val="24"/>
          <w:szCs w:val="24"/>
        </w:rPr>
        <w:t xml:space="preserve">sta are obligația de a le restitui </w:t>
      </w:r>
      <w:r w:rsidR="005B21BF">
        <w:rPr>
          <w:rFonts w:ascii="Times New Roman" w:hAnsi="Times New Roman" w:cs="Times New Roman"/>
          <w:sz w:val="24"/>
          <w:szCs w:val="24"/>
        </w:rPr>
        <w:t>în contul școlii.</w:t>
      </w:r>
    </w:p>
    <w:p w:rsidR="00C95DEA" w:rsidRPr="009A4F9F" w:rsidRDefault="006051E0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F6A16">
        <w:rPr>
          <w:rFonts w:ascii="Times New Roman" w:hAnsi="Times New Roman" w:cs="Times New Roman"/>
          <w:sz w:val="24"/>
          <w:szCs w:val="24"/>
        </w:rPr>
        <w:t>. D</w:t>
      </w:r>
      <w:r w:rsidR="00C95DEA" w:rsidRPr="009A4F9F">
        <w:rPr>
          <w:rFonts w:ascii="Times New Roman" w:hAnsi="Times New Roman" w:cs="Times New Roman"/>
          <w:sz w:val="24"/>
          <w:szCs w:val="24"/>
        </w:rPr>
        <w:t>ocumentele</w:t>
      </w:r>
      <w:r w:rsidR="008F6A16">
        <w:rPr>
          <w:rFonts w:ascii="Times New Roman" w:hAnsi="Times New Roman" w:cs="Times New Roman"/>
          <w:sz w:val="24"/>
          <w:szCs w:val="24"/>
        </w:rPr>
        <w:t xml:space="preserve"> de evaluare elaborate de echip</w:t>
      </w:r>
      <w:r w:rsidR="00C95DEA" w:rsidRPr="009A4F9F">
        <w:rPr>
          <w:rFonts w:ascii="Times New Roman" w:hAnsi="Times New Roman" w:cs="Times New Roman"/>
          <w:sz w:val="24"/>
          <w:szCs w:val="24"/>
        </w:rPr>
        <w:t xml:space="preserve">a de selecţie semnate de toţi membrii, raportul comisiei însoţit de listele finale fac parte din documentaţia proiectului şi vor fi arhivate conform prevederilor legale. Orice modificare a componenţei grupului ţintă va fi anunţată echipei de management a proiectului. </w:t>
      </w:r>
    </w:p>
    <w:p w:rsidR="00C95DEA" w:rsidRPr="009A4F9F" w:rsidRDefault="006051E0" w:rsidP="00C95DE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95DEA" w:rsidRPr="009A4F9F">
        <w:rPr>
          <w:rFonts w:ascii="Times New Roman" w:hAnsi="Times New Roman" w:cs="Times New Roman"/>
          <w:sz w:val="24"/>
          <w:szCs w:val="24"/>
        </w:rPr>
        <w:t xml:space="preserve">. Aprobarea modificării prezentei proceduri </w:t>
      </w:r>
      <w:r w:rsidR="00FF5468">
        <w:rPr>
          <w:rFonts w:ascii="Times New Roman" w:hAnsi="Times New Roman" w:cs="Times New Roman"/>
          <w:sz w:val="24"/>
          <w:szCs w:val="24"/>
        </w:rPr>
        <w:t>se va face doar cu acordul echipei de management a proiectului</w:t>
      </w:r>
      <w:r w:rsidR="00C95DEA" w:rsidRPr="009A4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1E0" w:rsidRDefault="006051E0" w:rsidP="00B416A7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55C18">
        <w:rPr>
          <w:rFonts w:ascii="Times New Roman" w:hAnsi="Times New Roman" w:cs="Times New Roman"/>
          <w:sz w:val="24"/>
          <w:szCs w:val="24"/>
        </w:rPr>
        <w:t xml:space="preserve">. </w:t>
      </w:r>
      <w:r w:rsidR="00C95DEA" w:rsidRPr="009A4F9F">
        <w:rPr>
          <w:rFonts w:ascii="Times New Roman" w:hAnsi="Times New Roman" w:cs="Times New Roman"/>
          <w:sz w:val="24"/>
          <w:szCs w:val="24"/>
        </w:rPr>
        <w:t xml:space="preserve">Prezenta procedură intră în vigoare în momentul aprobării acesteia de către reprezentantul legal al Şcolii Gimnaziale Nr. 113. </w:t>
      </w:r>
    </w:p>
    <w:p w:rsidR="00DB522E" w:rsidRDefault="00DB522E" w:rsidP="00B416A7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DB522E" w:rsidRDefault="00DB522E" w:rsidP="00B416A7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 1</w:t>
      </w:r>
    </w:p>
    <w:p w:rsidR="00DB522E" w:rsidRPr="00DB522E" w:rsidRDefault="00DB522E" w:rsidP="00DB5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>Fișa de evaluare a cadrelor didactice în vederea selecției</w:t>
      </w:r>
    </w:p>
    <w:p w:rsidR="00DB522E" w:rsidRP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2E" w:rsidRP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 xml:space="preserve">Nume cadru didactic: </w:t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</w:r>
      <w:r w:rsidRPr="00DB522E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DB522E" w:rsidRP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>Specialitate: ____________________________</w:t>
      </w:r>
    </w:p>
    <w:p w:rsidR="00DB522E" w:rsidRP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>Mobilitate: ____________________________</w:t>
      </w:r>
    </w:p>
    <w:p w:rsidR="00DB522E" w:rsidRPr="00DB522E" w:rsidRDefault="00DB522E" w:rsidP="00DB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80" w:type="dxa"/>
        <w:jc w:val="center"/>
        <w:tblInd w:w="-318" w:type="dxa"/>
        <w:tblLayout w:type="fixed"/>
        <w:tblLook w:val="04A0"/>
      </w:tblPr>
      <w:tblGrid>
        <w:gridCol w:w="534"/>
        <w:gridCol w:w="6873"/>
        <w:gridCol w:w="992"/>
        <w:gridCol w:w="981"/>
      </w:tblGrid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Nrcrt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Criteriul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Motivația de a participa la formare – 10p, în concordanță cu specificul mobilității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Asumarea responsabilităților cu privire la mobilitate (inclusiv legate de pandemie și restricții) – max. 10p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Asumarea responsabilitatilor cu privire la diseminare – max 10p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Capacitate de multiplicare, formare și informare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prof. metodist – 10p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responsabil arie curriculară – 8p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responsabil comisie – 6p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alte roluri – 4p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Cunoașterea limbii engleze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studii licență/ examen recunoscut internațional (min C1) – 10 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cursuri – 7p; alte situații – 4p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Implicarea în activitățile premergătoare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membru în echipa de management – 10p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participare la sondajul de documentare pentru proiect – 5p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Roluri și responsabilități în alte proiecte Erasmus+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- coordonator – 10p;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membru în echipa de management – 8p;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membru în echipa de implementare – 6p;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- membru în echipa de selecție – 4p;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alte roluri – 2p.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Absolvirea unor programe de formare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- 2 cursuri acreditate în ultimii 5 ani (min. 45 credite în total) – 10p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- 2 cursuri cu min. 50 ore formare fiecare în ultimii 5 ani – 6p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participarea la 5 evenimente de formare în ultimii 5 ani – 4p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Studii TIC (licență/master) – 10p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2E" w:rsidRPr="00DB522E" w:rsidTr="00DB13EA">
        <w:trPr>
          <w:jc w:val="center"/>
        </w:trPr>
        <w:tc>
          <w:tcPr>
            <w:tcW w:w="534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873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Activitate la catedră în educația STEAM (Science, Technology, Engineering, Art, Mathematics)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 xml:space="preserve">- gimnaziu – 10p; </w:t>
            </w:r>
          </w:p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E">
              <w:rPr>
                <w:rFonts w:ascii="Times New Roman" w:hAnsi="Times New Roman" w:cs="Times New Roman"/>
                <w:sz w:val="24"/>
                <w:szCs w:val="24"/>
              </w:rPr>
              <w:t>- primar – 5p</w:t>
            </w:r>
          </w:p>
        </w:tc>
        <w:tc>
          <w:tcPr>
            <w:tcW w:w="992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B522E" w:rsidRPr="00DB522E" w:rsidRDefault="00DB522E" w:rsidP="00DB13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2E" w:rsidRPr="00DB522E" w:rsidRDefault="00DB522E" w:rsidP="00DB522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DB522E" w:rsidRPr="00DB522E" w:rsidRDefault="00DB522E" w:rsidP="00DB522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>Echipa de selecție - Președinte: prof. Daia Iuliana-Maria</w:t>
      </w:r>
    </w:p>
    <w:p w:rsidR="00DB522E" w:rsidRPr="00DB522E" w:rsidRDefault="00DB522E" w:rsidP="00DB522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522E">
        <w:rPr>
          <w:rFonts w:ascii="Times New Roman" w:hAnsi="Times New Roman" w:cs="Times New Roman"/>
          <w:sz w:val="24"/>
          <w:szCs w:val="24"/>
        </w:rPr>
        <w:t>Membri: prof. Radu Alexandrina</w:t>
      </w:r>
    </w:p>
    <w:p w:rsidR="00DB522E" w:rsidRPr="00DB522E" w:rsidRDefault="00DB522E" w:rsidP="00B416A7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DB52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2E">
        <w:rPr>
          <w:rFonts w:ascii="Times New Roman" w:hAnsi="Times New Roman" w:cs="Times New Roman"/>
          <w:sz w:val="24"/>
          <w:szCs w:val="24"/>
        </w:rPr>
        <w:t>prof. Vidovici Aurelia/ prof. Țăranu Constanța</w:t>
      </w:r>
    </w:p>
    <w:sectPr w:rsidR="00DB522E" w:rsidRPr="00DB522E" w:rsidSect="002403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CC" w:rsidRDefault="000008CC" w:rsidP="00623A38">
      <w:pPr>
        <w:spacing w:after="0" w:line="240" w:lineRule="auto"/>
      </w:pPr>
      <w:r>
        <w:separator/>
      </w:r>
    </w:p>
  </w:endnote>
  <w:endnote w:type="continuationSeparator" w:id="1">
    <w:p w:rsidR="000008CC" w:rsidRDefault="000008CC" w:rsidP="0062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CC" w:rsidRDefault="000008CC" w:rsidP="00623A38">
      <w:pPr>
        <w:spacing w:after="0" w:line="240" w:lineRule="auto"/>
      </w:pPr>
      <w:r>
        <w:separator/>
      </w:r>
    </w:p>
  </w:footnote>
  <w:footnote w:type="continuationSeparator" w:id="1">
    <w:p w:rsidR="000008CC" w:rsidRDefault="000008CC" w:rsidP="0062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38" w:rsidRPr="009018EF" w:rsidRDefault="001D1BD2" w:rsidP="001D1BD2">
    <w:pPr>
      <w:pStyle w:val="Header"/>
      <w:jc w:val="center"/>
    </w:pPr>
    <w:r w:rsidRPr="001D1BD2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>
          <wp:extent cx="4767695" cy="714996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655" cy="71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1F"/>
    <w:multiLevelType w:val="hybridMultilevel"/>
    <w:tmpl w:val="61D83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3EE"/>
    <w:multiLevelType w:val="hybridMultilevel"/>
    <w:tmpl w:val="FF74BBFE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2047"/>
    <w:multiLevelType w:val="hybridMultilevel"/>
    <w:tmpl w:val="1A207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5541"/>
    <w:multiLevelType w:val="hybridMultilevel"/>
    <w:tmpl w:val="CC6A8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50BF"/>
    <w:multiLevelType w:val="hybridMultilevel"/>
    <w:tmpl w:val="6226D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C6877"/>
    <w:multiLevelType w:val="hybridMultilevel"/>
    <w:tmpl w:val="B3CE5FFC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196"/>
    <w:multiLevelType w:val="hybridMultilevel"/>
    <w:tmpl w:val="A538E944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6872"/>
    <w:multiLevelType w:val="hybridMultilevel"/>
    <w:tmpl w:val="989AF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B71F7"/>
    <w:multiLevelType w:val="hybridMultilevel"/>
    <w:tmpl w:val="9DC058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28FE"/>
    <w:multiLevelType w:val="hybridMultilevel"/>
    <w:tmpl w:val="C9C41EC0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B53FE"/>
    <w:multiLevelType w:val="hybridMultilevel"/>
    <w:tmpl w:val="FF48F684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53B7D"/>
    <w:multiLevelType w:val="hybridMultilevel"/>
    <w:tmpl w:val="6D8E58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87F5B"/>
    <w:multiLevelType w:val="hybridMultilevel"/>
    <w:tmpl w:val="4AE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47EBD"/>
    <w:multiLevelType w:val="hybridMultilevel"/>
    <w:tmpl w:val="E5CEB070"/>
    <w:lvl w:ilvl="0" w:tplc="8648E844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DD4771"/>
    <w:multiLevelType w:val="hybridMultilevel"/>
    <w:tmpl w:val="EF0663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04EA5"/>
    <w:multiLevelType w:val="hybridMultilevel"/>
    <w:tmpl w:val="86FE5E56"/>
    <w:lvl w:ilvl="0" w:tplc="8648E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23A38"/>
    <w:rsid w:val="000008CC"/>
    <w:rsid w:val="0001386E"/>
    <w:rsid w:val="00015FCE"/>
    <w:rsid w:val="00024815"/>
    <w:rsid w:val="00090286"/>
    <w:rsid w:val="000C5209"/>
    <w:rsid w:val="000D2FA5"/>
    <w:rsid w:val="000D6561"/>
    <w:rsid w:val="000F554E"/>
    <w:rsid w:val="00104900"/>
    <w:rsid w:val="00177F65"/>
    <w:rsid w:val="00186B1E"/>
    <w:rsid w:val="001C173D"/>
    <w:rsid w:val="001C1C1A"/>
    <w:rsid w:val="001C2835"/>
    <w:rsid w:val="001C5281"/>
    <w:rsid w:val="001D1BD2"/>
    <w:rsid w:val="001D2B96"/>
    <w:rsid w:val="001E79EB"/>
    <w:rsid w:val="001F4299"/>
    <w:rsid w:val="00227E80"/>
    <w:rsid w:val="002317F0"/>
    <w:rsid w:val="002403DF"/>
    <w:rsid w:val="00247FD3"/>
    <w:rsid w:val="0025440C"/>
    <w:rsid w:val="00256064"/>
    <w:rsid w:val="002629E5"/>
    <w:rsid w:val="002A6FF1"/>
    <w:rsid w:val="002C4EAC"/>
    <w:rsid w:val="002C5774"/>
    <w:rsid w:val="002F2DE4"/>
    <w:rsid w:val="002F6FF7"/>
    <w:rsid w:val="003208C5"/>
    <w:rsid w:val="00327E2B"/>
    <w:rsid w:val="00332D2D"/>
    <w:rsid w:val="00354E05"/>
    <w:rsid w:val="00363121"/>
    <w:rsid w:val="003B61DF"/>
    <w:rsid w:val="003E4556"/>
    <w:rsid w:val="00402146"/>
    <w:rsid w:val="004125BF"/>
    <w:rsid w:val="00412874"/>
    <w:rsid w:val="00457640"/>
    <w:rsid w:val="0046066F"/>
    <w:rsid w:val="00460F3A"/>
    <w:rsid w:val="00497BB4"/>
    <w:rsid w:val="004A684C"/>
    <w:rsid w:val="004C4182"/>
    <w:rsid w:val="004D5B8A"/>
    <w:rsid w:val="004E582B"/>
    <w:rsid w:val="005352B6"/>
    <w:rsid w:val="0054460D"/>
    <w:rsid w:val="00546E61"/>
    <w:rsid w:val="0058290B"/>
    <w:rsid w:val="005A646E"/>
    <w:rsid w:val="005B21BF"/>
    <w:rsid w:val="005B4CD8"/>
    <w:rsid w:val="005B55CA"/>
    <w:rsid w:val="005B6D46"/>
    <w:rsid w:val="005D2579"/>
    <w:rsid w:val="005E20C2"/>
    <w:rsid w:val="006051E0"/>
    <w:rsid w:val="00623A38"/>
    <w:rsid w:val="00644525"/>
    <w:rsid w:val="006468B0"/>
    <w:rsid w:val="00654B4C"/>
    <w:rsid w:val="006650ED"/>
    <w:rsid w:val="006A287C"/>
    <w:rsid w:val="006A61F2"/>
    <w:rsid w:val="006B0951"/>
    <w:rsid w:val="006C0402"/>
    <w:rsid w:val="006E36B2"/>
    <w:rsid w:val="00713259"/>
    <w:rsid w:val="007377CB"/>
    <w:rsid w:val="00761790"/>
    <w:rsid w:val="007C60D4"/>
    <w:rsid w:val="00801EDB"/>
    <w:rsid w:val="008021DF"/>
    <w:rsid w:val="00810A72"/>
    <w:rsid w:val="00811E69"/>
    <w:rsid w:val="00855C18"/>
    <w:rsid w:val="008730EA"/>
    <w:rsid w:val="00873332"/>
    <w:rsid w:val="008B30BC"/>
    <w:rsid w:val="008D3122"/>
    <w:rsid w:val="008D687E"/>
    <w:rsid w:val="008E172A"/>
    <w:rsid w:val="008F6A16"/>
    <w:rsid w:val="009018EF"/>
    <w:rsid w:val="00904307"/>
    <w:rsid w:val="00904919"/>
    <w:rsid w:val="0097536C"/>
    <w:rsid w:val="00976545"/>
    <w:rsid w:val="009765AF"/>
    <w:rsid w:val="009A4F9F"/>
    <w:rsid w:val="009E2C37"/>
    <w:rsid w:val="009F1127"/>
    <w:rsid w:val="009F6372"/>
    <w:rsid w:val="00A12B77"/>
    <w:rsid w:val="00A3346D"/>
    <w:rsid w:val="00A3372D"/>
    <w:rsid w:val="00A34AFF"/>
    <w:rsid w:val="00A507D2"/>
    <w:rsid w:val="00A52770"/>
    <w:rsid w:val="00A64D50"/>
    <w:rsid w:val="00AC27E3"/>
    <w:rsid w:val="00B416A7"/>
    <w:rsid w:val="00B417EB"/>
    <w:rsid w:val="00B54F18"/>
    <w:rsid w:val="00B67E59"/>
    <w:rsid w:val="00B67EA3"/>
    <w:rsid w:val="00B84F5A"/>
    <w:rsid w:val="00B872B4"/>
    <w:rsid w:val="00B957FC"/>
    <w:rsid w:val="00BB689C"/>
    <w:rsid w:val="00BC1236"/>
    <w:rsid w:val="00BE6746"/>
    <w:rsid w:val="00BE70F5"/>
    <w:rsid w:val="00BF1A86"/>
    <w:rsid w:val="00BF442E"/>
    <w:rsid w:val="00C0449D"/>
    <w:rsid w:val="00C22163"/>
    <w:rsid w:val="00C64B66"/>
    <w:rsid w:val="00C95DEA"/>
    <w:rsid w:val="00C96D73"/>
    <w:rsid w:val="00CC0B58"/>
    <w:rsid w:val="00D21095"/>
    <w:rsid w:val="00D4474C"/>
    <w:rsid w:val="00D51700"/>
    <w:rsid w:val="00D64BC3"/>
    <w:rsid w:val="00DB0EBE"/>
    <w:rsid w:val="00DB522E"/>
    <w:rsid w:val="00DC3966"/>
    <w:rsid w:val="00E03349"/>
    <w:rsid w:val="00E11D4D"/>
    <w:rsid w:val="00E55844"/>
    <w:rsid w:val="00E60581"/>
    <w:rsid w:val="00E86F8E"/>
    <w:rsid w:val="00E916AC"/>
    <w:rsid w:val="00EC5BC1"/>
    <w:rsid w:val="00EE43E3"/>
    <w:rsid w:val="00F00061"/>
    <w:rsid w:val="00F36168"/>
    <w:rsid w:val="00F375D3"/>
    <w:rsid w:val="00F53472"/>
    <w:rsid w:val="00F93156"/>
    <w:rsid w:val="00FB5A1E"/>
    <w:rsid w:val="00FC0903"/>
    <w:rsid w:val="00FC6BFE"/>
    <w:rsid w:val="00FD207A"/>
    <w:rsid w:val="00FE14C9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38"/>
  </w:style>
  <w:style w:type="paragraph" w:styleId="Footer">
    <w:name w:val="footer"/>
    <w:basedOn w:val="Normal"/>
    <w:link w:val="FooterChar"/>
    <w:uiPriority w:val="99"/>
    <w:semiHidden/>
    <w:unhideWhenUsed/>
    <w:rsid w:val="0062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A38"/>
  </w:style>
  <w:style w:type="paragraph" w:styleId="BalloonText">
    <w:name w:val="Balloon Text"/>
    <w:basedOn w:val="Normal"/>
    <w:link w:val="BalloonTextChar"/>
    <w:uiPriority w:val="99"/>
    <w:semiHidden/>
    <w:unhideWhenUsed/>
    <w:rsid w:val="0062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38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227E80"/>
  </w:style>
  <w:style w:type="paragraph" w:styleId="ListParagraph">
    <w:name w:val="List Paragraph"/>
    <w:basedOn w:val="Normal"/>
    <w:uiPriority w:val="34"/>
    <w:qFormat/>
    <w:rsid w:val="00E60581"/>
    <w:pPr>
      <w:ind w:left="720"/>
      <w:contextualSpacing/>
    </w:pPr>
  </w:style>
  <w:style w:type="table" w:styleId="TableGrid">
    <w:name w:val="Table Grid"/>
    <w:basedOn w:val="TableNormal"/>
    <w:uiPriority w:val="59"/>
    <w:rsid w:val="0081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2D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5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16</cp:revision>
  <dcterms:created xsi:type="dcterms:W3CDTF">2022-08-28T16:57:00Z</dcterms:created>
  <dcterms:modified xsi:type="dcterms:W3CDTF">2022-09-13T00:51:00Z</dcterms:modified>
</cp:coreProperties>
</file>